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E7B1A" w14:textId="41A07053" w:rsidR="00A6760C" w:rsidRDefault="00A6760C" w:rsidP="002212BC">
      <w:pPr>
        <w:jc w:val="center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7BF43702" wp14:editId="433638AD">
            <wp:simplePos x="0" y="0"/>
            <wp:positionH relativeFrom="margin">
              <wp:posOffset>2188210</wp:posOffset>
            </wp:positionH>
            <wp:positionV relativeFrom="margin">
              <wp:posOffset>-228600</wp:posOffset>
            </wp:positionV>
            <wp:extent cx="1490472" cy="1161288"/>
            <wp:effectExtent l="0" t="0" r="0" b="1270"/>
            <wp:wrapSquare wrapText="bothSides"/>
            <wp:docPr id="2" name="Picture 3" descr="Color S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 SR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72" cy="1161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CD4A5" w14:textId="389B8740" w:rsidR="00A6760C" w:rsidRPr="00A6760C" w:rsidRDefault="00A6760C" w:rsidP="00A6760C">
      <w:pPr>
        <w:jc w:val="center"/>
        <w:rPr>
          <w:noProof/>
        </w:rPr>
      </w:pPr>
    </w:p>
    <w:p w14:paraId="7E696309" w14:textId="77777777" w:rsidR="00A6760C" w:rsidRDefault="00A6760C" w:rsidP="00A6760C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322A37" wp14:editId="638A351A">
                <wp:simplePos x="0" y="0"/>
                <wp:positionH relativeFrom="column">
                  <wp:posOffset>2130425</wp:posOffset>
                </wp:positionH>
                <wp:positionV relativeFrom="paragraph">
                  <wp:posOffset>245110</wp:posOffset>
                </wp:positionV>
                <wp:extent cx="1647825" cy="752475"/>
                <wp:effectExtent l="6350" t="0" r="1270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647825" cy="7524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145E05" w14:textId="77777777" w:rsidR="00A6760C" w:rsidRDefault="00A6760C" w:rsidP="00A36986">
                            <w:pPr>
                              <w:jc w:val="center"/>
                              <w:rPr>
                                <w:rFonts w:ascii="Impact" w:hAnsi="Impact"/>
                                <w:color w:val="008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color w:val="008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33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CATHI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22A37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67.75pt;margin-top:19.3pt;width:129.75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2B145E05" w14:textId="77777777" w:rsidR="00A6760C" w:rsidRDefault="00A6760C" w:rsidP="00A36986">
                      <w:pPr>
                        <w:jc w:val="center"/>
                        <w:rPr>
                          <w:rFonts w:ascii="Impact" w:hAnsi="Impact"/>
                          <w:color w:val="008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33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color w:val="008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3300"/>
                            </w14:solidFill>
                            <w14:prstDash w14:val="solid"/>
                            <w14:round/>
                          </w14:textOutline>
                        </w:rPr>
                        <w:t>CATHI</w:t>
                      </w:r>
                    </w:p>
                  </w:txbxContent>
                </v:textbox>
              </v:shape>
            </w:pict>
          </mc:Fallback>
        </mc:AlternateContent>
      </w:r>
    </w:p>
    <w:p w14:paraId="2C095EDC" w14:textId="77777777" w:rsidR="00A6760C" w:rsidRDefault="00A6760C" w:rsidP="00A6760C">
      <w:pPr>
        <w:jc w:val="center"/>
        <w:rPr>
          <w:sz w:val="24"/>
          <w:szCs w:val="24"/>
        </w:rPr>
      </w:pPr>
    </w:p>
    <w:p w14:paraId="7E88EADF" w14:textId="77777777" w:rsidR="00A6760C" w:rsidRPr="00082336" w:rsidRDefault="00A6760C" w:rsidP="00A6760C">
      <w:pPr>
        <w:jc w:val="center"/>
        <w:rPr>
          <w:rFonts w:ascii="Arial" w:hAnsi="Arial" w:cs="Arial"/>
          <w:b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5A75BC1" w14:textId="77777777" w:rsidR="00A6760C" w:rsidRPr="00082336" w:rsidRDefault="00A6760C" w:rsidP="00A6760C">
      <w:pPr>
        <w:jc w:val="center"/>
        <w:rPr>
          <w:rFonts w:ascii="Arial" w:hAnsi="Arial" w:cs="Arial"/>
          <w:b/>
          <w:color w:val="008000"/>
          <w:sz w:val="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77E6EF" w14:textId="77777777" w:rsidR="00A6760C" w:rsidRPr="00082336" w:rsidRDefault="00A6760C" w:rsidP="00A6760C">
      <w:pPr>
        <w:jc w:val="center"/>
        <w:rPr>
          <w:rFonts w:ascii="Arial" w:hAnsi="Arial" w:cs="Arial"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2336">
        <w:rPr>
          <w:rFonts w:ascii="Arial" w:hAnsi="Arial" w:cs="Arial"/>
          <w:b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08233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aregiver’s</w:t>
      </w:r>
      <w:r w:rsidRPr="00082336">
        <w:rPr>
          <w:rFonts w:ascii="Arial" w:hAnsi="Arial" w:cs="Arial"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82336">
        <w:rPr>
          <w:rFonts w:ascii="Arial" w:hAnsi="Arial" w:cs="Arial"/>
          <w:b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08233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nswers, </w:t>
      </w:r>
      <w:r w:rsidRPr="00082336">
        <w:rPr>
          <w:rFonts w:ascii="Arial" w:hAnsi="Arial" w:cs="Arial"/>
          <w:b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</w:t>
      </w:r>
      <w:r w:rsidRPr="0008233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opics, and </w:t>
      </w:r>
      <w:r w:rsidRPr="00082336">
        <w:rPr>
          <w:rFonts w:ascii="Arial" w:hAnsi="Arial" w:cs="Arial"/>
          <w:b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08233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elpful</w:t>
      </w:r>
      <w:r w:rsidRPr="00082336">
        <w:rPr>
          <w:rFonts w:ascii="Arial" w:hAnsi="Arial" w:cs="Arial"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82336">
        <w:rPr>
          <w:rFonts w:ascii="Arial" w:hAnsi="Arial" w:cs="Arial"/>
          <w:b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082336">
        <w:rPr>
          <w:rFonts w:ascii="Arial" w:hAnsi="Arial" w:cs="Aria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nformation</w:t>
      </w:r>
    </w:p>
    <w:p w14:paraId="231D3049" w14:textId="32E4E2D3" w:rsidR="00B401B8" w:rsidRPr="00DF396A" w:rsidRDefault="00A6760C" w:rsidP="00DF396A">
      <w:pPr>
        <w:jc w:val="center"/>
        <w:rPr>
          <w:sz w:val="24"/>
          <w:szCs w:val="24"/>
        </w:rPr>
      </w:pPr>
      <w:r w:rsidRPr="00BD0B30">
        <w:rPr>
          <w:sz w:val="24"/>
          <w:szCs w:val="24"/>
        </w:rPr>
        <w:t xml:space="preserve">In an endeavor to continually assist caregivers in their search for pertinent information regarding eldercare, our </w:t>
      </w:r>
      <w:r>
        <w:rPr>
          <w:sz w:val="24"/>
          <w:szCs w:val="24"/>
        </w:rPr>
        <w:t>Information and Referral Specialists</w:t>
      </w:r>
      <w:r w:rsidRPr="00BD0B30">
        <w:rPr>
          <w:sz w:val="24"/>
          <w:szCs w:val="24"/>
        </w:rPr>
        <w:t xml:space="preserve"> address topics most frequently asked questions via </w:t>
      </w:r>
      <w:r w:rsidRPr="00BD0B30">
        <w:rPr>
          <w:b/>
          <w:sz w:val="24"/>
          <w:szCs w:val="24"/>
        </w:rPr>
        <w:t>C</w:t>
      </w:r>
      <w:r w:rsidRPr="00BD0B30">
        <w:rPr>
          <w:sz w:val="24"/>
          <w:szCs w:val="24"/>
        </w:rPr>
        <w:t xml:space="preserve">aregiver’s </w:t>
      </w:r>
      <w:r w:rsidRPr="00BD0B30">
        <w:rPr>
          <w:b/>
          <w:sz w:val="24"/>
          <w:szCs w:val="24"/>
        </w:rPr>
        <w:t>A</w:t>
      </w:r>
      <w:r w:rsidRPr="00BD0B30">
        <w:rPr>
          <w:sz w:val="24"/>
          <w:szCs w:val="24"/>
        </w:rPr>
        <w:t xml:space="preserve">nswers, </w:t>
      </w:r>
      <w:r w:rsidRPr="00BD0B30">
        <w:rPr>
          <w:b/>
          <w:sz w:val="24"/>
          <w:szCs w:val="24"/>
        </w:rPr>
        <w:t>T</w:t>
      </w:r>
      <w:r w:rsidRPr="00BD0B30">
        <w:rPr>
          <w:sz w:val="24"/>
          <w:szCs w:val="24"/>
        </w:rPr>
        <w:t xml:space="preserve">opics, and </w:t>
      </w:r>
      <w:r w:rsidRPr="00BD0B30">
        <w:rPr>
          <w:b/>
          <w:sz w:val="24"/>
          <w:szCs w:val="24"/>
        </w:rPr>
        <w:t>H</w:t>
      </w:r>
      <w:r w:rsidRPr="00BD0B30">
        <w:rPr>
          <w:sz w:val="24"/>
          <w:szCs w:val="24"/>
        </w:rPr>
        <w:t xml:space="preserve">elpful </w:t>
      </w:r>
      <w:r w:rsidRPr="00BD0B30">
        <w:rPr>
          <w:b/>
          <w:sz w:val="24"/>
          <w:szCs w:val="24"/>
        </w:rPr>
        <w:t>I</w:t>
      </w:r>
      <w:r w:rsidRPr="00BD0B30">
        <w:rPr>
          <w:sz w:val="24"/>
          <w:szCs w:val="24"/>
        </w:rPr>
        <w:t>nformation (</w:t>
      </w:r>
      <w:r w:rsidRPr="00BD0B30">
        <w:rPr>
          <w:b/>
          <w:sz w:val="24"/>
          <w:szCs w:val="24"/>
        </w:rPr>
        <w:t>CATHI</w:t>
      </w:r>
      <w:r w:rsidRPr="00BD0B30">
        <w:rPr>
          <w:sz w:val="24"/>
          <w:szCs w:val="24"/>
        </w:rPr>
        <w:t>). Additionally, caregivers are invited to e-mail individual questions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</w:t>
      </w:r>
      <w:r w:rsidRPr="00A6760C">
        <w:rPr>
          <w:b/>
          <w:bCs/>
          <w:sz w:val="24"/>
          <w:szCs w:val="24"/>
        </w:rPr>
        <w:t>aregiver2@senior-resources-guilford.org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and an Information and Referral Specialist will reply.</w:t>
      </w:r>
    </w:p>
    <w:p w14:paraId="67BFAF0E" w14:textId="1E77D26E" w:rsidR="00DF396A" w:rsidRDefault="00DF396A" w:rsidP="00A36986"/>
    <w:p w14:paraId="7C6A9A81" w14:textId="4244EC28" w:rsidR="00A36986" w:rsidRDefault="00A36986" w:rsidP="00A36986">
      <w:r>
        <w:t xml:space="preserve">Dear CATHI,  </w:t>
      </w:r>
    </w:p>
    <w:p w14:paraId="20B62F3E" w14:textId="200F7201" w:rsidR="00A36986" w:rsidRPr="009702CF" w:rsidRDefault="00A36986" w:rsidP="00A36986">
      <w:pPr>
        <w:rPr>
          <w:b/>
          <w:bCs/>
        </w:rPr>
      </w:pPr>
      <w:r w:rsidRPr="009702CF">
        <w:rPr>
          <w:b/>
          <w:bCs/>
          <w:u w:val="single" w:color="000000"/>
        </w:rPr>
        <w:t>Question</w:t>
      </w:r>
      <w:r w:rsidR="004A19C8" w:rsidRPr="009702CF">
        <w:rPr>
          <w:b/>
          <w:bCs/>
          <w:u w:val="single" w:color="000000"/>
        </w:rPr>
        <w:t>:</w:t>
      </w:r>
      <w:r w:rsidR="004A19C8" w:rsidRPr="009702CF">
        <w:rPr>
          <w:b/>
          <w:bCs/>
        </w:rPr>
        <w:t xml:space="preserve"> What</w:t>
      </w:r>
      <w:r w:rsidR="00434FDA">
        <w:t xml:space="preserve"> is Sundowning?</w:t>
      </w:r>
    </w:p>
    <w:p w14:paraId="338AE9B6" w14:textId="13F8A8FE" w:rsidR="009A034B" w:rsidRDefault="00A36986" w:rsidP="00C02879">
      <w:r w:rsidRPr="009702CF">
        <w:rPr>
          <w:b/>
          <w:bCs/>
          <w:u w:val="single" w:color="000000"/>
        </w:rPr>
        <w:t>Answer:</w:t>
      </w:r>
      <w:r>
        <w:t xml:space="preserve"> </w:t>
      </w:r>
      <w:r w:rsidR="004A19C8">
        <w:t>The term “sundowning” refers to when adults with Alzheimer’</w:t>
      </w:r>
      <w:r w:rsidR="00C139D9">
        <w:t>s</w:t>
      </w:r>
      <w:r w:rsidR="004A19C8">
        <w:t xml:space="preserve"> or some other</w:t>
      </w:r>
      <w:r w:rsidR="00B2299D">
        <w:t xml:space="preserve"> type of</w:t>
      </w:r>
      <w:r w:rsidR="004A19C8">
        <w:t xml:space="preserve"> dementia</w:t>
      </w:r>
      <w:r w:rsidR="00C139D9">
        <w:t xml:space="preserve"> become agitated, confused, and disoriented </w:t>
      </w:r>
      <w:r w:rsidR="00CA7E04">
        <w:t xml:space="preserve">in the late afternoon and evening hours </w:t>
      </w:r>
      <w:r w:rsidR="003839DF">
        <w:t>when the sun is going down.</w:t>
      </w:r>
      <w:r w:rsidR="003A60AB">
        <w:t xml:space="preserve"> These behaviors </w:t>
      </w:r>
      <w:r w:rsidR="00462FAB">
        <w:t xml:space="preserve">can continue into the night, making it difficult </w:t>
      </w:r>
      <w:r w:rsidR="009B37E8">
        <w:t>for them to stay in bed and fall asleep.</w:t>
      </w:r>
      <w:r>
        <w:t xml:space="preserve"> </w:t>
      </w:r>
      <w:r w:rsidR="00B2299D">
        <w:t xml:space="preserve">In turn this can </w:t>
      </w:r>
      <w:r w:rsidR="000B6641">
        <w:t>make it difficult for the caregiver to get enough rest as well. Sundowning isn’t understood</w:t>
      </w:r>
      <w:r w:rsidR="00DC2B5D">
        <w:t xml:space="preserve"> very well</w:t>
      </w:r>
      <w:r w:rsidR="005504D6">
        <w:t>, b</w:t>
      </w:r>
      <w:r w:rsidR="009A034B">
        <w:t>u</w:t>
      </w:r>
      <w:r w:rsidR="005504D6">
        <w:t>t here a</w:t>
      </w:r>
      <w:r w:rsidR="009A034B">
        <w:t>r</w:t>
      </w:r>
      <w:r w:rsidR="005504D6">
        <w:t>e some useful tips to help lessen its effects.</w:t>
      </w:r>
    </w:p>
    <w:p w14:paraId="1F8599C9" w14:textId="006397A8" w:rsidR="009A034B" w:rsidRDefault="009A034B" w:rsidP="00C02879">
      <w:r w:rsidRPr="009A034B">
        <w:rPr>
          <w:b/>
          <w:bCs/>
        </w:rPr>
        <w:t>Identify Triggers</w:t>
      </w:r>
      <w:r w:rsidR="00F8254C">
        <w:rPr>
          <w:b/>
          <w:bCs/>
        </w:rPr>
        <w:t>:</w:t>
      </w:r>
      <w:r>
        <w:rPr>
          <w:b/>
          <w:bCs/>
        </w:rPr>
        <w:t xml:space="preserve"> </w:t>
      </w:r>
      <w:r w:rsidR="00F8254C">
        <w:t xml:space="preserve">Its important to identify potential culprits </w:t>
      </w:r>
      <w:r w:rsidR="00476EF9">
        <w:t>based on your loved one</w:t>
      </w:r>
      <w:r w:rsidR="00E678B4">
        <w:t>’</w:t>
      </w:r>
      <w:r w:rsidR="00476EF9">
        <w:t xml:space="preserve">s mood. Often our loved ones may </w:t>
      </w:r>
      <w:r w:rsidR="003166E5">
        <w:t>just be uncomfortable. Offering a blanket in case they</w:t>
      </w:r>
      <w:r w:rsidR="00936BEC">
        <w:t xml:space="preserve">’re cold or turning on a lamp in case they are afraid of the </w:t>
      </w:r>
      <w:r w:rsidR="00E678B4">
        <w:t>dark</w:t>
      </w:r>
      <w:r w:rsidR="00741D33">
        <w:t xml:space="preserve"> can make all the difference. Check </w:t>
      </w:r>
      <w:r w:rsidR="00E678B4">
        <w:t>to see if they are hungry or thirsty by offering a snack or a glass of water.</w:t>
      </w:r>
      <w:r w:rsidR="00741D33">
        <w:t xml:space="preserve"> </w:t>
      </w:r>
      <w:r w:rsidR="00D40A46">
        <w:t>Sometimes our loved ones may simply be tire</w:t>
      </w:r>
      <w:r w:rsidR="004719CF">
        <w:t>d</w:t>
      </w:r>
      <w:r w:rsidR="00D40A46">
        <w:t xml:space="preserve"> earlier in the day, causing them to </w:t>
      </w:r>
      <w:r w:rsidR="003922C2">
        <w:t>feel agitated or confused. Allow</w:t>
      </w:r>
      <w:r w:rsidR="004719CF">
        <w:t xml:space="preserve"> them time to rest but keep naps short and not too late in the day.</w:t>
      </w:r>
    </w:p>
    <w:p w14:paraId="362F6A43" w14:textId="0D152A2C" w:rsidR="000E0F2C" w:rsidRDefault="004719CF" w:rsidP="00C02879">
      <w:r w:rsidRPr="003D6641">
        <w:rPr>
          <w:b/>
          <w:bCs/>
        </w:rPr>
        <w:t xml:space="preserve">Start a </w:t>
      </w:r>
      <w:r w:rsidR="003D6641" w:rsidRPr="003D6641">
        <w:rPr>
          <w:b/>
          <w:bCs/>
        </w:rPr>
        <w:t>routine:</w:t>
      </w:r>
      <w:r w:rsidR="003D6641">
        <w:rPr>
          <w:b/>
          <w:bCs/>
        </w:rPr>
        <w:t xml:space="preserve"> </w:t>
      </w:r>
      <w:r w:rsidR="003D6641" w:rsidRPr="00B47996">
        <w:t>Starting a</w:t>
      </w:r>
      <w:r w:rsidR="00B47996" w:rsidRPr="00B47996">
        <w:t xml:space="preserve"> </w:t>
      </w:r>
      <w:r w:rsidR="003D6641" w:rsidRPr="00B47996">
        <w:t>routine can be tough, b</w:t>
      </w:r>
      <w:r w:rsidR="0071788F">
        <w:t>ut</w:t>
      </w:r>
      <w:r w:rsidR="008C1317">
        <w:t xml:space="preserve"> a routine can help comfort</w:t>
      </w:r>
      <w:r w:rsidR="00C35C73">
        <w:t xml:space="preserve"> your loved one, helping them to cope more effectively</w:t>
      </w:r>
      <w:r w:rsidR="00C72F34">
        <w:t>. Do your best to establish regular mealtimes</w:t>
      </w:r>
      <w:r w:rsidR="000E0F2C">
        <w:t xml:space="preserve">, medication times, </w:t>
      </w:r>
      <w:r w:rsidR="00DD2401">
        <w:t xml:space="preserve">naptimes </w:t>
      </w:r>
      <w:r w:rsidR="000E0F2C">
        <w:t xml:space="preserve">and bedtimes. The more </w:t>
      </w:r>
      <w:r w:rsidR="000F0B3D">
        <w:t>routine oriented their day is the more at ease they should be.</w:t>
      </w:r>
    </w:p>
    <w:p w14:paraId="6B73B8B0" w14:textId="66E1B7F8" w:rsidR="006522F6" w:rsidRDefault="000F0B3D" w:rsidP="00C02879">
      <w:r w:rsidRPr="009D4946">
        <w:rPr>
          <w:b/>
          <w:bCs/>
        </w:rPr>
        <w:t>Wind down in the evening:</w:t>
      </w:r>
      <w:r w:rsidR="009D4946">
        <w:rPr>
          <w:b/>
          <w:bCs/>
        </w:rPr>
        <w:t xml:space="preserve"> </w:t>
      </w:r>
      <w:r w:rsidR="009D4946">
        <w:t>Reducing noise, clutter</w:t>
      </w:r>
      <w:r w:rsidR="00402902">
        <w:t xml:space="preserve">, and the number of people in the room can help your loved one relax. </w:t>
      </w:r>
      <w:r w:rsidR="004752AA">
        <w:t>Offering something to read or playing soft music creates an environment</w:t>
      </w:r>
      <w:r w:rsidR="004A1BEA">
        <w:t xml:space="preserve"> that helps calm. Give plenty of personal space. </w:t>
      </w:r>
      <w:r w:rsidR="00656CF5">
        <w:t>H</w:t>
      </w:r>
      <w:r w:rsidR="006522F6">
        <w:t>aving a family member or friend call during this time</w:t>
      </w:r>
      <w:r w:rsidR="0059679F">
        <w:t xml:space="preserve"> </w:t>
      </w:r>
      <w:r w:rsidR="00656CF5">
        <w:t>can help with relaxation.</w:t>
      </w:r>
    </w:p>
    <w:p w14:paraId="51EFD17F" w14:textId="35AEA78C" w:rsidR="008E1C04" w:rsidRDefault="008E1C04" w:rsidP="00C02879">
      <w:r w:rsidRPr="008E1C04">
        <w:rPr>
          <w:b/>
          <w:bCs/>
        </w:rPr>
        <w:t>Adjust the lighting:</w:t>
      </w:r>
      <w:r>
        <w:rPr>
          <w:b/>
          <w:bCs/>
        </w:rPr>
        <w:t xml:space="preserve"> </w:t>
      </w:r>
      <w:r w:rsidR="00DF5499" w:rsidRPr="00E144D6">
        <w:t xml:space="preserve">Sundowning </w:t>
      </w:r>
      <w:r w:rsidR="00E144D6" w:rsidRPr="00E144D6">
        <w:t>may be caused by an</w:t>
      </w:r>
      <w:r w:rsidR="00E144D6">
        <w:rPr>
          <w:b/>
          <w:bCs/>
        </w:rPr>
        <w:t xml:space="preserve"> </w:t>
      </w:r>
      <w:r w:rsidR="00E144D6" w:rsidRPr="00E144D6">
        <w:t>“upset of the internal clock”</w:t>
      </w:r>
      <w:r w:rsidR="00E144D6">
        <w:rPr>
          <w:b/>
          <w:bCs/>
        </w:rPr>
        <w:t xml:space="preserve"> </w:t>
      </w:r>
      <w:r w:rsidR="00DC3107">
        <w:t xml:space="preserve">causing </w:t>
      </w:r>
      <w:r w:rsidR="008C795E">
        <w:t>a biological mix-up between day and night. To aid with this, tur</w:t>
      </w:r>
      <w:r w:rsidR="00191D63">
        <w:t>n</w:t>
      </w:r>
      <w:r w:rsidR="008C795E">
        <w:t xml:space="preserve"> on the lights</w:t>
      </w:r>
      <w:r w:rsidR="00E15673">
        <w:t xml:space="preserve"> and open the curtain</w:t>
      </w:r>
      <w:r w:rsidR="00191D63">
        <w:t>s</w:t>
      </w:r>
      <w:r w:rsidR="00E15673">
        <w:t xml:space="preserve"> during the day, and turn down the lights</w:t>
      </w:r>
      <w:r w:rsidR="00191D63">
        <w:t xml:space="preserve"> and close the curtains during the evening</w:t>
      </w:r>
      <w:r w:rsidR="00AA40DE">
        <w:t>, can help regulate the “internal</w:t>
      </w:r>
      <w:r w:rsidR="003265B2">
        <w:t xml:space="preserve"> </w:t>
      </w:r>
      <w:r w:rsidR="00AA40DE">
        <w:t>clock.”</w:t>
      </w:r>
    </w:p>
    <w:p w14:paraId="2C5B8771" w14:textId="77777777" w:rsidR="003265B2" w:rsidRDefault="003265B2" w:rsidP="00C02879"/>
    <w:p w14:paraId="4ED7E31D" w14:textId="5BA9FA81" w:rsidR="005A5A77" w:rsidRDefault="003265B2" w:rsidP="00C02879">
      <w:r w:rsidRPr="003265B2">
        <w:rPr>
          <w:b/>
          <w:bCs/>
        </w:rPr>
        <w:lastRenderedPageBreak/>
        <w:t>Redirect your loved one:</w:t>
      </w:r>
      <w:r>
        <w:rPr>
          <w:b/>
          <w:bCs/>
        </w:rPr>
        <w:t xml:space="preserve"> </w:t>
      </w:r>
      <w:r>
        <w:t xml:space="preserve">If your loved one </w:t>
      </w:r>
      <w:r w:rsidR="00873605">
        <w:t>is awake and upset, redirecting them to a repetitive task may help</w:t>
      </w:r>
      <w:r w:rsidR="00FB40D3">
        <w:t xml:space="preserve">. Be sure to </w:t>
      </w:r>
      <w:r w:rsidR="00390BBF">
        <w:t xml:space="preserve">approach them in a calm manner and offer activities like folding </w:t>
      </w:r>
      <w:r w:rsidR="00E25C2B">
        <w:t>laundry, sorting items by color, or doing dishes. This can help</w:t>
      </w:r>
      <w:r w:rsidR="00EA6E42">
        <w:t xml:space="preserve"> </w:t>
      </w:r>
      <w:r w:rsidR="00E25C2B">
        <w:t xml:space="preserve">shift </w:t>
      </w:r>
      <w:r w:rsidR="00EA6E42">
        <w:t>your loved one’s focus</w:t>
      </w:r>
      <w:r w:rsidR="005A5A77">
        <w:t xml:space="preserve">. </w:t>
      </w:r>
    </w:p>
    <w:p w14:paraId="7EEB3280" w14:textId="295F957D" w:rsidR="003265B2" w:rsidRDefault="005A5A77" w:rsidP="00C02879">
      <w:r w:rsidRPr="005A5A77">
        <w:rPr>
          <w:b/>
          <w:bCs/>
        </w:rPr>
        <w:t>Things to avoid:</w:t>
      </w:r>
      <w:r w:rsidR="00EA6E42" w:rsidRPr="005A5A77">
        <w:rPr>
          <w:b/>
          <w:bCs/>
        </w:rPr>
        <w:t xml:space="preserve"> </w:t>
      </w:r>
      <w:r w:rsidR="00BD79BE">
        <w:t>A few things have also been identified to avoid</w:t>
      </w:r>
      <w:r w:rsidR="003F6DA9">
        <w:t xml:space="preserve"> as these can make sundowning worse. Drinking caffein</w:t>
      </w:r>
      <w:r w:rsidR="00A563AA">
        <w:t>ated drinks like soda, coffee, and other drinks too late in</w:t>
      </w:r>
      <w:r w:rsidR="00477140">
        <w:t xml:space="preserve"> the day can make it harder for your loved one to wind down. Alcoholic drinks </w:t>
      </w:r>
      <w:r w:rsidR="008B161A">
        <w:t xml:space="preserve">can also add to confusion and anxiety and confusion. </w:t>
      </w:r>
      <w:r w:rsidR="005B3390">
        <w:t xml:space="preserve">Be cautious not to over plan or overstimulate your loved one. This can also </w:t>
      </w:r>
      <w:r w:rsidR="003B440C">
        <w:t>cause them to become tired much earlier in the day</w:t>
      </w:r>
      <w:r w:rsidR="00DC1DBD">
        <w:t xml:space="preserve"> leading to issues with sundowning.</w:t>
      </w:r>
    </w:p>
    <w:p w14:paraId="3274A631" w14:textId="258B2960" w:rsidR="00522931" w:rsidRDefault="00DC1DBD" w:rsidP="00C02879">
      <w:r w:rsidRPr="00DC1DBD">
        <w:rPr>
          <w:b/>
          <w:bCs/>
        </w:rPr>
        <w:t>When to see the doctor:</w:t>
      </w:r>
      <w:r>
        <w:t xml:space="preserve"> </w:t>
      </w:r>
      <w:r w:rsidR="00131CB4">
        <w:t xml:space="preserve">If sundowning continues to be a problem, it may be time to see a doctor. </w:t>
      </w:r>
      <w:r w:rsidR="0049306A">
        <w:t xml:space="preserve">Underlying medical issues can mimic sundowning, such as urinary tract infections, </w:t>
      </w:r>
      <w:r w:rsidR="006474D3">
        <w:t xml:space="preserve">restless leg syndrome, and sleep apnea. Medication may </w:t>
      </w:r>
      <w:r w:rsidR="0030575B">
        <w:t>need to be prescribed to assist with sleeping</w:t>
      </w:r>
      <w:r w:rsidR="00144EB6">
        <w:t>. Be sure to check about possible risks</w:t>
      </w:r>
      <w:r w:rsidR="00522931">
        <w:t xml:space="preserve">, side effects, and benefits before </w:t>
      </w:r>
      <w:r w:rsidR="00D71AA1">
        <w:t>deciding</w:t>
      </w:r>
      <w:r w:rsidR="00522931">
        <w:t xml:space="preserve"> about using medications,</w:t>
      </w:r>
    </w:p>
    <w:p w14:paraId="3EFB8DF8" w14:textId="77777777" w:rsidR="006A4F0E" w:rsidRDefault="006A4F0E" w:rsidP="00C02879"/>
    <w:p w14:paraId="4617F21E" w14:textId="77777777" w:rsidR="006A4F0E" w:rsidRDefault="006A4F0E" w:rsidP="00C02879"/>
    <w:p w14:paraId="5CB4F2B0" w14:textId="4A51224F" w:rsidR="00DC1DBD" w:rsidRPr="006A4F0E" w:rsidRDefault="00D71AA1" w:rsidP="00C02879">
      <w:pPr>
        <w:rPr>
          <w:sz w:val="18"/>
          <w:szCs w:val="18"/>
        </w:rPr>
      </w:pPr>
      <w:r w:rsidRPr="006A4F0E">
        <w:rPr>
          <w:sz w:val="18"/>
          <w:szCs w:val="18"/>
        </w:rPr>
        <w:t xml:space="preserve">This article was taken from “Sundowning” written by </w:t>
      </w:r>
      <w:proofErr w:type="spellStart"/>
      <w:r w:rsidRPr="006A4F0E">
        <w:rPr>
          <w:sz w:val="18"/>
          <w:szCs w:val="18"/>
        </w:rPr>
        <w:t>Trualta</w:t>
      </w:r>
      <w:proofErr w:type="spellEnd"/>
      <w:r w:rsidRPr="006A4F0E">
        <w:rPr>
          <w:sz w:val="18"/>
          <w:szCs w:val="18"/>
        </w:rPr>
        <w:t xml:space="preserve">, </w:t>
      </w:r>
      <w:r w:rsidR="00E83266" w:rsidRPr="006A4F0E">
        <w:rPr>
          <w:sz w:val="18"/>
          <w:szCs w:val="18"/>
        </w:rPr>
        <w:t xml:space="preserve">“Sleep Issues and Sundowning” </w:t>
      </w:r>
      <w:r w:rsidR="004C304D" w:rsidRPr="006A4F0E">
        <w:rPr>
          <w:sz w:val="18"/>
          <w:szCs w:val="18"/>
        </w:rPr>
        <w:t xml:space="preserve">by </w:t>
      </w:r>
      <w:r w:rsidR="006A4F0E" w:rsidRPr="006A4F0E">
        <w:rPr>
          <w:sz w:val="18"/>
          <w:szCs w:val="18"/>
        </w:rPr>
        <w:t>Alzheimer’s</w:t>
      </w:r>
      <w:r w:rsidR="004C304D" w:rsidRPr="006A4F0E">
        <w:rPr>
          <w:sz w:val="18"/>
          <w:szCs w:val="18"/>
        </w:rPr>
        <w:t xml:space="preserve"> Assn., and </w:t>
      </w:r>
      <w:r w:rsidR="006340F1" w:rsidRPr="006A4F0E">
        <w:rPr>
          <w:sz w:val="18"/>
          <w:szCs w:val="18"/>
        </w:rPr>
        <w:t>“</w:t>
      </w:r>
      <w:r w:rsidR="004C304D" w:rsidRPr="006A4F0E">
        <w:rPr>
          <w:sz w:val="18"/>
          <w:szCs w:val="18"/>
        </w:rPr>
        <w:t>Tips for Coping with Sundowning</w:t>
      </w:r>
      <w:r w:rsidR="006340F1" w:rsidRPr="006A4F0E">
        <w:rPr>
          <w:sz w:val="18"/>
          <w:szCs w:val="18"/>
        </w:rPr>
        <w:t>” by National Institute</w:t>
      </w:r>
      <w:r w:rsidR="006A4F0E" w:rsidRPr="006A4F0E">
        <w:rPr>
          <w:sz w:val="18"/>
          <w:szCs w:val="18"/>
        </w:rPr>
        <w:t xml:space="preserve"> on Aging.</w:t>
      </w:r>
    </w:p>
    <w:p w14:paraId="275DC86E" w14:textId="780D5BE2" w:rsidR="00492913" w:rsidRPr="003A60AB" w:rsidRDefault="00A36986" w:rsidP="00C02879">
      <w:r>
        <w:t xml:space="preserve">  </w:t>
      </w:r>
    </w:p>
    <w:p w14:paraId="16AB2941" w14:textId="77777777" w:rsidR="00A36986" w:rsidRDefault="00A36986" w:rsidP="00A3698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5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Note: This is for informational purposes only. </w:t>
      </w:r>
    </w:p>
    <w:p w14:paraId="5E54FF71" w14:textId="77777777" w:rsidR="00A36986" w:rsidRDefault="00A36986" w:rsidP="00A36986">
      <w:pPr>
        <w:spacing w:after="23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CD5232E" w14:textId="595D146A" w:rsidR="00A36986" w:rsidRDefault="00207812" w:rsidP="00A36986">
      <w:pPr>
        <w:tabs>
          <w:tab w:val="center" w:pos="4783"/>
        </w:tabs>
        <w:spacing w:after="0"/>
        <w:rPr>
          <w:noProof/>
        </w:rPr>
      </w:pPr>
      <w:r w:rsidRPr="00D074CA">
        <w:t xml:space="preserve">For referrals to </w:t>
      </w:r>
      <w:r w:rsidRPr="00D074CA">
        <w:rPr>
          <w:bCs/>
        </w:rPr>
        <w:t>community organizations in Guilford County that assist older adults and caregivers</w:t>
      </w:r>
      <w:r w:rsidRPr="00D074CA">
        <w:t xml:space="preserve">, contact Senior Resources of Guilford’s </w:t>
      </w:r>
      <w:r w:rsidRPr="00D074CA">
        <w:rPr>
          <w:iCs/>
        </w:rPr>
        <w:t xml:space="preserve">SeniorLine </w:t>
      </w:r>
      <w:r w:rsidRPr="00D074CA">
        <w:t xml:space="preserve">at (336) </w:t>
      </w:r>
      <w:r>
        <w:t>333</w:t>
      </w:r>
      <w:r w:rsidRPr="00D074CA">
        <w:t xml:space="preserve">-6981 in </w:t>
      </w:r>
      <w:r>
        <w:t>Greensboro and Guilford Co.</w:t>
      </w:r>
      <w:r w:rsidRPr="00D074CA">
        <w:t xml:space="preserve">, </w:t>
      </w:r>
      <w:r>
        <w:t>in High Point/Jamestown</w:t>
      </w:r>
      <w:r w:rsidRPr="00D074CA">
        <w:t xml:space="preserve"> (336) </w:t>
      </w:r>
      <w:r>
        <w:t>884</w:t>
      </w:r>
      <w:r w:rsidRPr="00D074CA">
        <w:t xml:space="preserve">-6981 or the Caregiver Support </w:t>
      </w:r>
      <w:r>
        <w:t>Specialist</w:t>
      </w:r>
      <w:r w:rsidRPr="00D074CA">
        <w:t>, at (336) 373-4816 or (336) 883-3586 in High Point.</w:t>
      </w:r>
      <w:r w:rsidR="00A36986">
        <w:rPr>
          <w:rFonts w:ascii="Times New Roman" w:eastAsia="Times New Roman" w:hAnsi="Times New Roman" w:cs="Times New Roman"/>
          <w:sz w:val="24"/>
        </w:rPr>
        <w:t xml:space="preserve"> </w:t>
      </w:r>
      <w:r w:rsidR="00A36986">
        <w:rPr>
          <w:rFonts w:ascii="Times New Roman" w:eastAsia="Times New Roman" w:hAnsi="Times New Roman" w:cs="Times New Roman"/>
          <w:sz w:val="24"/>
        </w:rPr>
        <w:tab/>
      </w:r>
    </w:p>
    <w:p w14:paraId="555E4895" w14:textId="7D0E68BD" w:rsidR="00A36986" w:rsidRDefault="00A36986" w:rsidP="00A36986">
      <w:pPr>
        <w:tabs>
          <w:tab w:val="center" w:pos="4783"/>
        </w:tabs>
        <w:spacing w:after="0"/>
        <w:jc w:val="center"/>
      </w:pPr>
      <w:r>
        <w:rPr>
          <w:noProof/>
        </w:rPr>
        <w:drawing>
          <wp:inline distT="0" distB="0" distL="0" distR="0" wp14:anchorId="1D136FE5" wp14:editId="6E4F1535">
            <wp:extent cx="1847850" cy="1362075"/>
            <wp:effectExtent l="0" t="0" r="0" b="9525"/>
            <wp:docPr id="192" name="Picture 192" descr="A logo for a caregiv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 descr="A logo for a caregiver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8561" cy="136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6986" w:rsidSect="00A3698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6947"/>
    <w:multiLevelType w:val="hybridMultilevel"/>
    <w:tmpl w:val="8798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D6723"/>
    <w:multiLevelType w:val="hybridMultilevel"/>
    <w:tmpl w:val="25A0E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64162"/>
    <w:multiLevelType w:val="hybridMultilevel"/>
    <w:tmpl w:val="0A40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22409"/>
    <w:multiLevelType w:val="hybridMultilevel"/>
    <w:tmpl w:val="8F74B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34A9A"/>
    <w:multiLevelType w:val="hybridMultilevel"/>
    <w:tmpl w:val="644C433C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2CFC0875"/>
    <w:multiLevelType w:val="hybridMultilevel"/>
    <w:tmpl w:val="76E81E36"/>
    <w:lvl w:ilvl="0" w:tplc="49F6B6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AD24EE"/>
    <w:multiLevelType w:val="hybridMultilevel"/>
    <w:tmpl w:val="F74E1EC2"/>
    <w:lvl w:ilvl="0" w:tplc="529A695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5E99F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063C4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1EFCF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501346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A6E78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54C90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04D0B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8B1F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5FB1C91"/>
    <w:multiLevelType w:val="hybridMultilevel"/>
    <w:tmpl w:val="33F22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113073">
    <w:abstractNumId w:val="1"/>
  </w:num>
  <w:num w:numId="2" w16cid:durableId="1930312838">
    <w:abstractNumId w:val="2"/>
  </w:num>
  <w:num w:numId="3" w16cid:durableId="999624031">
    <w:abstractNumId w:val="6"/>
  </w:num>
  <w:num w:numId="4" w16cid:durableId="1679195814">
    <w:abstractNumId w:val="0"/>
  </w:num>
  <w:num w:numId="5" w16cid:durableId="993530806">
    <w:abstractNumId w:val="7"/>
  </w:num>
  <w:num w:numId="6" w16cid:durableId="661933321">
    <w:abstractNumId w:val="5"/>
  </w:num>
  <w:num w:numId="7" w16cid:durableId="588467485">
    <w:abstractNumId w:val="4"/>
  </w:num>
  <w:num w:numId="8" w16cid:durableId="672954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BC"/>
    <w:rsid w:val="0000442F"/>
    <w:rsid w:val="000B6641"/>
    <w:rsid w:val="000E0F2C"/>
    <w:rsid w:val="000F0B3D"/>
    <w:rsid w:val="00131CB4"/>
    <w:rsid w:val="00144EB6"/>
    <w:rsid w:val="00191D63"/>
    <w:rsid w:val="00207812"/>
    <w:rsid w:val="002212BC"/>
    <w:rsid w:val="00227EE9"/>
    <w:rsid w:val="00260DDD"/>
    <w:rsid w:val="002C6970"/>
    <w:rsid w:val="0030575B"/>
    <w:rsid w:val="003166E5"/>
    <w:rsid w:val="003265B2"/>
    <w:rsid w:val="00336050"/>
    <w:rsid w:val="003839DF"/>
    <w:rsid w:val="00390BBF"/>
    <w:rsid w:val="003922C2"/>
    <w:rsid w:val="003A60AB"/>
    <w:rsid w:val="003B440C"/>
    <w:rsid w:val="003D6641"/>
    <w:rsid w:val="003E21E2"/>
    <w:rsid w:val="003F6DA9"/>
    <w:rsid w:val="003F6DD0"/>
    <w:rsid w:val="00402902"/>
    <w:rsid w:val="00434FDA"/>
    <w:rsid w:val="00462FAB"/>
    <w:rsid w:val="004719CF"/>
    <w:rsid w:val="004752AA"/>
    <w:rsid w:val="00476EF9"/>
    <w:rsid w:val="00477140"/>
    <w:rsid w:val="00492913"/>
    <w:rsid w:val="0049306A"/>
    <w:rsid w:val="0049782B"/>
    <w:rsid w:val="004A19C8"/>
    <w:rsid w:val="004A1BEA"/>
    <w:rsid w:val="004C304D"/>
    <w:rsid w:val="004C6BE8"/>
    <w:rsid w:val="00522931"/>
    <w:rsid w:val="005504D6"/>
    <w:rsid w:val="00551476"/>
    <w:rsid w:val="0059679F"/>
    <w:rsid w:val="005A5A77"/>
    <w:rsid w:val="005A7DFB"/>
    <w:rsid w:val="005B3390"/>
    <w:rsid w:val="00616F3D"/>
    <w:rsid w:val="00631A35"/>
    <w:rsid w:val="006340F1"/>
    <w:rsid w:val="006474D3"/>
    <w:rsid w:val="006522F6"/>
    <w:rsid w:val="00656CF5"/>
    <w:rsid w:val="006A1442"/>
    <w:rsid w:val="006A4F0E"/>
    <w:rsid w:val="006B3FD5"/>
    <w:rsid w:val="006D187E"/>
    <w:rsid w:val="006D622B"/>
    <w:rsid w:val="0071788F"/>
    <w:rsid w:val="00741D33"/>
    <w:rsid w:val="007B2FE1"/>
    <w:rsid w:val="00815474"/>
    <w:rsid w:val="008609B0"/>
    <w:rsid w:val="00873605"/>
    <w:rsid w:val="008B161A"/>
    <w:rsid w:val="008C1317"/>
    <w:rsid w:val="008C795E"/>
    <w:rsid w:val="008D02C9"/>
    <w:rsid w:val="008E1C04"/>
    <w:rsid w:val="00913709"/>
    <w:rsid w:val="00936BEC"/>
    <w:rsid w:val="009702CF"/>
    <w:rsid w:val="00992BFE"/>
    <w:rsid w:val="009A034B"/>
    <w:rsid w:val="009B37E8"/>
    <w:rsid w:val="009D4946"/>
    <w:rsid w:val="00A36986"/>
    <w:rsid w:val="00A563AA"/>
    <w:rsid w:val="00A6760C"/>
    <w:rsid w:val="00AA40DE"/>
    <w:rsid w:val="00AD534A"/>
    <w:rsid w:val="00B2299D"/>
    <w:rsid w:val="00B401B8"/>
    <w:rsid w:val="00B47996"/>
    <w:rsid w:val="00B72B18"/>
    <w:rsid w:val="00BD79BE"/>
    <w:rsid w:val="00C02879"/>
    <w:rsid w:val="00C139D9"/>
    <w:rsid w:val="00C35C73"/>
    <w:rsid w:val="00C72F34"/>
    <w:rsid w:val="00CA7E04"/>
    <w:rsid w:val="00CC70D2"/>
    <w:rsid w:val="00CE0F5D"/>
    <w:rsid w:val="00D40A46"/>
    <w:rsid w:val="00D71AA1"/>
    <w:rsid w:val="00DC1DBD"/>
    <w:rsid w:val="00DC2B5D"/>
    <w:rsid w:val="00DC3107"/>
    <w:rsid w:val="00DD2401"/>
    <w:rsid w:val="00DF396A"/>
    <w:rsid w:val="00DF5499"/>
    <w:rsid w:val="00E033CC"/>
    <w:rsid w:val="00E144D6"/>
    <w:rsid w:val="00E15673"/>
    <w:rsid w:val="00E25C2B"/>
    <w:rsid w:val="00E45EF5"/>
    <w:rsid w:val="00E678B4"/>
    <w:rsid w:val="00E83266"/>
    <w:rsid w:val="00EA6E42"/>
    <w:rsid w:val="00F31953"/>
    <w:rsid w:val="00F8254C"/>
    <w:rsid w:val="00FB40D3"/>
    <w:rsid w:val="00FC1D4D"/>
    <w:rsid w:val="00F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313B0"/>
  <w15:chartTrackingRefBased/>
  <w15:docId w15:val="{E1753CFD-CB8D-49D9-8582-5E356672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2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76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760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36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36E02A80ED88499E30EB1B2928A0F8" ma:contentTypeVersion="13" ma:contentTypeDescription="Create a new document." ma:contentTypeScope="" ma:versionID="f8795875d9e2385c393de7d5fa15dbdf">
  <xsd:schema xmlns:xsd="http://www.w3.org/2001/XMLSchema" xmlns:xs="http://www.w3.org/2001/XMLSchema" xmlns:p="http://schemas.microsoft.com/office/2006/metadata/properties" xmlns:ns2="7f66d32b-6892-4442-a0af-f84ce7c6ed35" xmlns:ns3="f822c6ad-e61b-4834-b382-123f6442c4ac" targetNamespace="http://schemas.microsoft.com/office/2006/metadata/properties" ma:root="true" ma:fieldsID="bf036479cdf7960e32d365077f76ecf6" ns2:_="" ns3:_="">
    <xsd:import namespace="7f66d32b-6892-4442-a0af-f84ce7c6ed35"/>
    <xsd:import namespace="f822c6ad-e61b-4834-b382-123f6442c4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6d32b-6892-4442-a0af-f84ce7c6e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d4d15bf-8e6a-409a-aa4f-4d1a0bf5a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2c6ad-e61b-4834-b382-123f6442c4a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5cc14a1-3079-4d6b-a662-2bf2f1cc9fe7}" ma:internalName="TaxCatchAll" ma:showField="CatchAllData" ma:web="f822c6ad-e61b-4834-b382-123f6442c4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66d32b-6892-4442-a0af-f84ce7c6ed35">
      <Terms xmlns="http://schemas.microsoft.com/office/infopath/2007/PartnerControls"/>
    </lcf76f155ced4ddcb4097134ff3c332f>
    <TaxCatchAll xmlns="f822c6ad-e61b-4834-b382-123f6442c4ac" xsi:nil="true"/>
  </documentManagement>
</p:properties>
</file>

<file path=customXml/itemProps1.xml><?xml version="1.0" encoding="utf-8"?>
<ds:datastoreItem xmlns:ds="http://schemas.openxmlformats.org/officeDocument/2006/customXml" ds:itemID="{D5D21E34-A8EA-4C2B-A042-515BC00EB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66d32b-6892-4442-a0af-f84ce7c6ed35"/>
    <ds:schemaRef ds:uri="f822c6ad-e61b-4834-b382-123f6442c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B492F-04A9-4F03-86CD-6186F79BF9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0BBDE-6958-4701-B0F4-418DE900EDF7}">
  <ds:schemaRefs>
    <ds:schemaRef ds:uri="http://schemas.microsoft.com/office/2006/metadata/properties"/>
    <ds:schemaRef ds:uri="http://schemas.microsoft.com/office/infopath/2007/PartnerControls"/>
    <ds:schemaRef ds:uri="7f66d32b-6892-4442-a0af-f84ce7c6ed35"/>
    <ds:schemaRef ds:uri="f822c6ad-e61b-4834-b382-123f6442c4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Cole-Lentz</dc:creator>
  <cp:keywords/>
  <dc:description/>
  <cp:lastModifiedBy>Brent Howerton</cp:lastModifiedBy>
  <cp:revision>2</cp:revision>
  <cp:lastPrinted>2022-09-29T16:05:00Z</cp:lastPrinted>
  <dcterms:created xsi:type="dcterms:W3CDTF">2025-04-02T20:57:00Z</dcterms:created>
  <dcterms:modified xsi:type="dcterms:W3CDTF">2025-04-02T20:57:00Z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0x010100F436E02A80ED88499E30EB1B2928A0F8</vt:lpwstr>
  </property>
  <property fmtid="{D5CDD505-2E9C-101B-9397-08002B2CF9AE}" pid="3" name="MediaServiceImageTags">
    <vt:lpwstr/>
  </property>
</Properties>
</file>